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13"/>
        <w:ind w:left="102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附件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2"/>
        <w:spacing w:before="58"/>
        <w:ind w:right="274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微信小程序端参与活动说明</w:t>
      </w:r>
    </w:p>
    <w:p>
      <w:pPr>
        <w:pStyle w:val="3"/>
        <w:spacing w:before="5"/>
        <w:rPr>
          <w:rFonts w:ascii="PMingLiU"/>
          <w:sz w:val="66"/>
        </w:rPr>
      </w:pPr>
    </w:p>
    <w:p>
      <w:pPr>
        <w:pStyle w:val="6"/>
        <w:numPr>
          <w:ilvl w:val="0"/>
          <w:numId w:val="0"/>
        </w:numPr>
        <w:tabs>
          <w:tab w:val="left" w:pos="1024"/>
        </w:tabs>
        <w:spacing w:before="0" w:after="0" w:line="340" w:lineRule="auto"/>
        <w:ind w:right="114" w:rightChars="0" w:firstLine="564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7"/>
          <w:w w:val="99"/>
          <w:sz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pacing w:val="-17"/>
          <w:w w:val="99"/>
          <w:sz w:val="32"/>
          <w14:textFill>
            <w14:solidFill>
              <w14:schemeClr w14:val="tx1"/>
            </w14:solidFill>
          </w14:textFill>
        </w:rPr>
        <w:t>关注“冀工之家订阅号”微信公众号</w:t>
      </w:r>
      <w:r>
        <w:rPr>
          <w:rFonts w:hint="eastAsia" w:ascii="仿宋_GB2312" w:hAnsi="仿宋_GB2312" w:eastAsia="仿宋_GB2312" w:cs="仿宋_GB2312"/>
          <w:color w:val="000000" w:themeColor="text1"/>
          <w:spacing w:val="-15"/>
          <w:w w:val="99"/>
          <w:sz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pacing w:val="-17"/>
          <w:w w:val="99"/>
          <w:sz w:val="32"/>
          <w14:textFill>
            <w14:solidFill>
              <w14:schemeClr w14:val="tx1"/>
            </w14:solidFill>
          </w14:textFill>
        </w:rPr>
        <w:t>扫描下方二维码</w:t>
      </w:r>
      <w:r>
        <w:rPr>
          <w:rFonts w:hint="eastAsia" w:ascii="仿宋_GB2312" w:hAnsi="仿宋_GB2312" w:eastAsia="仿宋_GB2312" w:cs="仿宋_GB2312"/>
          <w:color w:val="000000" w:themeColor="text1"/>
          <w:spacing w:val="-168"/>
          <w:w w:val="99"/>
          <w:sz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w w:val="99"/>
          <w:sz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pacing w:val="-28"/>
          <w:w w:val="99"/>
          <w:sz w:val="32"/>
          <w14:textFill>
            <w14:solidFill>
              <w14:schemeClr w14:val="tx1"/>
            </w14:solidFill>
          </w14:textFill>
        </w:rPr>
        <w:t>点击“服务大厅”，点击“我要诵读”即可参与活动。</w:t>
      </w:r>
    </w:p>
    <w:p>
      <w:pPr>
        <w:pStyle w:val="3"/>
        <w:spacing w:before="8"/>
        <w:rPr>
          <w:sz w:val="8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3125470</wp:posOffset>
            </wp:positionH>
            <wp:positionV relativeFrom="paragraph">
              <wp:posOffset>94615</wp:posOffset>
            </wp:positionV>
            <wp:extent cx="1280160" cy="1280160"/>
            <wp:effectExtent l="0" t="0" r="15240" b="1524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9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117"/>
        <w:ind w:left="1165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（微信扫码关注“冀工之家订阅号”参与活动）</w:t>
      </w:r>
    </w:p>
    <w:p>
      <w:pPr>
        <w:pStyle w:val="6"/>
        <w:numPr>
          <w:ilvl w:val="0"/>
          <w:numId w:val="0"/>
        </w:numPr>
        <w:tabs>
          <w:tab w:val="left" w:pos="1024"/>
        </w:tabs>
        <w:spacing w:before="229" w:after="0" w:line="340" w:lineRule="auto"/>
        <w:ind w:right="260" w:rightChars="0" w:firstLine="5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7"/>
          <w:w w:val="95"/>
          <w:sz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pacing w:val="-17"/>
          <w:w w:val="95"/>
          <w:sz w:val="32"/>
          <w14:textFill>
            <w14:solidFill>
              <w14:schemeClr w14:val="tx1"/>
            </w14:solidFill>
          </w14:textFill>
        </w:rPr>
        <w:t xml:space="preserve">点击小程序顶部活动轮播图，进入活动详情页，点击报名 </w:t>
      </w:r>
      <w:r>
        <w:rPr>
          <w:rFonts w:hint="eastAsia" w:ascii="仿宋_GB2312" w:hAnsi="仿宋_GB2312" w:eastAsia="仿宋_GB2312" w:cs="仿宋_GB2312"/>
          <w:color w:val="000000" w:themeColor="text1"/>
          <w:spacing w:val="-15"/>
          <w:sz w:val="32"/>
          <w14:textFill>
            <w14:solidFill>
              <w14:schemeClr w14:val="tx1"/>
            </w14:solidFill>
          </w14:textFill>
        </w:rPr>
        <w:t>按钮</w:t>
      </w:r>
      <w:r>
        <w:rPr>
          <w:rFonts w:hint="eastAsia" w:ascii="仿宋_GB2312" w:hAnsi="仿宋_GB2312" w:eastAsia="仿宋_GB2312" w:cs="仿宋_GB2312"/>
          <w:color w:val="000000" w:themeColor="text1"/>
          <w:spacing w:val="-17"/>
          <w:sz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pacing w:val="-21"/>
          <w:sz w:val="32"/>
          <w14:textFill>
            <w14:solidFill>
              <w14:schemeClr w14:val="tx1"/>
            </w14:solidFill>
          </w14:textFill>
        </w:rPr>
        <w:t xml:space="preserve">若已有完成的诵读作品，可直接进入第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pacing w:val="-55"/>
          <w:sz w:val="32"/>
          <w14:textFill>
            <w14:solidFill>
              <w14:schemeClr w14:val="tx1"/>
            </w14:solidFill>
          </w14:textFill>
        </w:rPr>
        <w:t xml:space="preserve"> 步</w:t>
      </w:r>
      <w:r>
        <w:rPr>
          <w:rFonts w:hint="eastAsia" w:ascii="仿宋_GB2312" w:hAnsi="仿宋_GB2312" w:eastAsia="仿宋_GB2312" w:cs="仿宋_GB2312"/>
          <w:color w:val="000000" w:themeColor="text1"/>
          <w:spacing w:val="-168"/>
          <w:sz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numPr>
          <w:ilvl w:val="0"/>
          <w:numId w:val="0"/>
        </w:numPr>
        <w:tabs>
          <w:tab w:val="left" w:pos="1024"/>
        </w:tabs>
        <w:spacing w:before="0" w:after="0" w:line="405" w:lineRule="exact"/>
        <w:ind w:right="0" w:rightChars="0" w:firstLine="572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7"/>
          <w:sz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pacing w:val="-17"/>
          <w:sz w:val="32"/>
          <w14:textFill>
            <w14:solidFill>
              <w14:schemeClr w14:val="tx1"/>
            </w14:solidFill>
          </w14:textFill>
        </w:rPr>
        <w:t>点击小程序底部麦克风按钮，取下耳机。</w:t>
      </w:r>
    </w:p>
    <w:p>
      <w:pPr>
        <w:pStyle w:val="6"/>
        <w:numPr>
          <w:ilvl w:val="0"/>
          <w:numId w:val="0"/>
        </w:numPr>
        <w:tabs>
          <w:tab w:val="left" w:pos="1486"/>
        </w:tabs>
        <w:spacing w:before="171" w:after="0" w:line="340" w:lineRule="auto"/>
        <w:ind w:right="260" w:rightChars="0" w:firstLine="536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6"/>
          <w:sz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pacing w:val="-26"/>
          <w:sz w:val="32"/>
          <w:lang w:val="en-US" w:eastAsia="zh-CN"/>
          <w14:textFill>
            <w14:solidFill>
              <w14:schemeClr w14:val="tx1"/>
            </w14:solidFill>
          </w14:textFill>
        </w:rPr>
        <w:t>1）</w:t>
      </w:r>
      <w:r>
        <w:rPr>
          <w:rFonts w:hint="eastAsia" w:ascii="仿宋_GB2312" w:hAnsi="仿宋_GB2312" w:eastAsia="仿宋_GB2312" w:cs="仿宋_GB2312"/>
          <w:color w:val="000000" w:themeColor="text1"/>
          <w:spacing w:val="-26"/>
          <w:sz w:val="32"/>
          <w14:textFill>
            <w14:solidFill>
              <w14:schemeClr w14:val="tx1"/>
            </w14:solidFill>
          </w14:textFill>
        </w:rPr>
        <w:t>自带素材诵读：点击“</w:t>
      </w:r>
      <w:r>
        <w:rPr>
          <w:rFonts w:hint="eastAsia" w:ascii="仿宋_GB2312" w:hAnsi="仿宋_GB2312" w:eastAsia="仿宋_GB2312" w:cs="仿宋_GB2312"/>
          <w:color w:val="000000" w:themeColor="text1"/>
          <w:spacing w:val="-14"/>
          <w:sz w:val="32"/>
          <w14:textFill>
            <w14:solidFill>
              <w14:schemeClr w14:val="tx1"/>
            </w14:solidFill>
          </w14:textFill>
        </w:rPr>
        <w:t>㊉</w:t>
      </w:r>
      <w:r>
        <w:rPr>
          <w:rFonts w:hint="eastAsia" w:ascii="仿宋_GB2312" w:hAnsi="仿宋_GB2312" w:eastAsia="仿宋_GB2312" w:cs="仿宋_GB2312"/>
          <w:color w:val="000000" w:themeColor="text1"/>
          <w:spacing w:val="-45"/>
          <w:sz w:val="32"/>
          <w14:textFill>
            <w14:solidFill>
              <w14:schemeClr w14:val="tx1"/>
            </w14:solidFill>
          </w14:textFill>
        </w:rPr>
        <w:t xml:space="preserve">”选择“上传读本”，填写“ </w:t>
      </w:r>
      <w:r>
        <w:rPr>
          <w:rFonts w:hint="eastAsia" w:ascii="仿宋_GB2312" w:hAnsi="仿宋_GB2312" w:eastAsia="仿宋_GB2312" w:cs="仿宋_GB2312"/>
          <w:color w:val="000000" w:themeColor="text1"/>
          <w:spacing w:val="-52"/>
          <w:w w:val="99"/>
          <w:sz w:val="32"/>
          <w14:textFill>
            <w14:solidFill>
              <w14:schemeClr w14:val="tx1"/>
            </w14:solidFill>
          </w14:textFill>
        </w:rPr>
        <w:t>读本标题”</w:t>
      </w:r>
      <w:r>
        <w:rPr>
          <w:rFonts w:hint="eastAsia" w:ascii="仿宋_GB2312" w:hAnsi="仿宋_GB2312" w:eastAsia="仿宋_GB2312" w:cs="仿宋_GB2312"/>
          <w:color w:val="000000" w:themeColor="text1"/>
          <w:spacing w:val="-17"/>
          <w:w w:val="99"/>
          <w:sz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pacing w:val="-16"/>
          <w:w w:val="99"/>
          <w:sz w:val="32"/>
          <w14:textFill>
            <w14:solidFill>
              <w14:schemeClr w14:val="tx1"/>
            </w14:solidFill>
          </w14:textFill>
        </w:rPr>
        <w:t>必选项</w:t>
      </w:r>
      <w:r>
        <w:rPr>
          <w:rFonts w:hint="eastAsia" w:ascii="仿宋_GB2312" w:hAnsi="仿宋_GB2312" w:eastAsia="仿宋_GB2312" w:cs="仿宋_GB2312"/>
          <w:color w:val="000000" w:themeColor="text1"/>
          <w:spacing w:val="-168"/>
          <w:w w:val="99"/>
          <w:sz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pacing w:val="-32"/>
          <w:w w:val="99"/>
          <w:sz w:val="32"/>
          <w14:textFill>
            <w14:solidFill>
              <w14:schemeClr w14:val="tx1"/>
            </w14:solidFill>
          </w14:textFill>
        </w:rPr>
        <w:t>，读本作者</w:t>
      </w:r>
      <w:r>
        <w:rPr>
          <w:rFonts w:hint="eastAsia" w:ascii="仿宋_GB2312" w:hAnsi="仿宋_GB2312" w:eastAsia="仿宋_GB2312" w:cs="仿宋_GB2312"/>
          <w:color w:val="000000" w:themeColor="text1"/>
          <w:spacing w:val="-17"/>
          <w:w w:val="99"/>
          <w:sz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pacing w:val="-16"/>
          <w:w w:val="99"/>
          <w:sz w:val="32"/>
          <w14:textFill>
            <w14:solidFill>
              <w14:schemeClr w14:val="tx1"/>
            </w14:solidFill>
          </w14:textFill>
        </w:rPr>
        <w:t>选填项</w:t>
      </w:r>
      <w:r>
        <w:rPr>
          <w:rFonts w:hint="eastAsia" w:ascii="仿宋_GB2312" w:hAnsi="仿宋_GB2312" w:eastAsia="仿宋_GB2312" w:cs="仿宋_GB2312"/>
          <w:color w:val="000000" w:themeColor="text1"/>
          <w:spacing w:val="-166"/>
          <w:w w:val="99"/>
          <w:sz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pacing w:val="-22"/>
          <w:w w:val="99"/>
          <w:sz w:val="32"/>
          <w14:textFill>
            <w14:solidFill>
              <w14:schemeClr w14:val="tx1"/>
            </w14:solidFill>
          </w14:textFill>
        </w:rPr>
        <w:t>，复制自备诵读素材后</w:t>
      </w:r>
      <w:r>
        <w:rPr>
          <w:rFonts w:hint="eastAsia" w:ascii="仿宋_GB2312" w:hAnsi="仿宋_GB2312" w:eastAsia="仿宋_GB2312" w:cs="仿宋_GB2312"/>
          <w:color w:val="000000" w:themeColor="text1"/>
          <w:spacing w:val="-33"/>
          <w:w w:val="99"/>
          <w:sz w:val="32"/>
          <w14:textFill>
            <w14:solidFill>
              <w14:schemeClr w14:val="tx1"/>
            </w14:solidFill>
          </w14:textFill>
        </w:rPr>
        <w:t>粘贴至“读本内容”</w:t>
      </w:r>
      <w:r>
        <w:rPr>
          <w:rFonts w:hint="eastAsia" w:ascii="仿宋_GB2312" w:hAnsi="仿宋_GB2312" w:eastAsia="仿宋_GB2312" w:cs="仿宋_GB2312"/>
          <w:color w:val="000000" w:themeColor="text1"/>
          <w:spacing w:val="-15"/>
          <w:w w:val="99"/>
          <w:sz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pacing w:val="-17"/>
          <w:w w:val="99"/>
          <w:sz w:val="32"/>
          <w14:textFill>
            <w14:solidFill>
              <w14:schemeClr w14:val="tx1"/>
            </w14:solidFill>
          </w14:textFill>
        </w:rPr>
        <w:t>上传读本仅个人可见</w:t>
      </w:r>
      <w:r>
        <w:rPr>
          <w:rFonts w:hint="eastAsia" w:ascii="仿宋_GB2312" w:hAnsi="仿宋_GB2312" w:eastAsia="仿宋_GB2312" w:cs="仿宋_GB2312"/>
          <w:color w:val="000000" w:themeColor="text1"/>
          <w:spacing w:val="-166"/>
          <w:w w:val="99"/>
          <w:sz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pacing w:val="-17"/>
          <w:w w:val="99"/>
          <w:sz w:val="32"/>
          <w14:textFill>
            <w14:solidFill>
              <w14:schemeClr w14:val="tx1"/>
            </w14:solidFill>
          </w14:textFill>
        </w:rPr>
        <w:t>，完成后点击提交，</w:t>
      </w:r>
      <w:r>
        <w:rPr>
          <w:rFonts w:hint="eastAsia" w:ascii="仿宋_GB2312" w:hAnsi="仿宋_GB2312" w:eastAsia="仿宋_GB2312" w:cs="仿宋_GB2312"/>
          <w:color w:val="000000" w:themeColor="text1"/>
          <w:spacing w:val="-35"/>
          <w:w w:val="95"/>
          <w:sz w:val="32"/>
          <w14:textFill>
            <w14:solidFill>
              <w14:schemeClr w14:val="tx1"/>
            </w14:solidFill>
          </w14:textFill>
        </w:rPr>
        <w:t>选择系统背景音乐后“开始录制”。也可不提交读本，直接选择合</w:t>
      </w:r>
      <w:r>
        <w:rPr>
          <w:rFonts w:hint="eastAsia" w:ascii="仿宋_GB2312" w:hAnsi="仿宋_GB2312" w:eastAsia="仿宋_GB2312" w:cs="仿宋_GB2312"/>
          <w:color w:val="000000" w:themeColor="text1"/>
          <w:w w:val="99"/>
          <w:sz w:val="32"/>
          <w14:textFill>
            <w14:solidFill>
              <w14:schemeClr w14:val="tx1"/>
            </w14:solidFill>
          </w14:textFill>
        </w:rPr>
        <w:t>适</w:t>
      </w:r>
      <w:r>
        <w:rPr>
          <w:rFonts w:hint="eastAsia" w:ascii="仿宋_GB2312" w:hAnsi="仿宋_GB2312" w:eastAsia="仿宋_GB2312" w:cs="仿宋_GB2312"/>
          <w:color w:val="000000" w:themeColor="text1"/>
          <w:spacing w:val="-27"/>
          <w:w w:val="99"/>
          <w:sz w:val="32"/>
          <w14:textFill>
            <w14:solidFill>
              <w14:schemeClr w14:val="tx1"/>
            </w14:solidFill>
          </w14:textFill>
        </w:rPr>
        <w:t>的背景音乐后点击“开始录制”；</w:t>
      </w:r>
    </w:p>
    <w:p>
      <w:pPr>
        <w:pStyle w:val="6"/>
        <w:numPr>
          <w:ilvl w:val="0"/>
          <w:numId w:val="0"/>
        </w:numPr>
        <w:tabs>
          <w:tab w:val="left" w:pos="1486"/>
        </w:tabs>
        <w:spacing w:before="0" w:after="0" w:line="340" w:lineRule="auto"/>
        <w:ind w:right="108" w:rightChars="0" w:firstLine="564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7"/>
          <w:w w:val="99"/>
          <w:sz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pacing w:val="-17"/>
          <w:w w:val="99"/>
          <w:sz w:val="32"/>
          <w:lang w:val="en-US" w:eastAsia="zh-CN"/>
          <w14:textFill>
            <w14:solidFill>
              <w14:schemeClr w14:val="tx1"/>
            </w14:solidFill>
          </w14:textFill>
        </w:rPr>
        <w:t>2）</w:t>
      </w:r>
      <w:r>
        <w:rPr>
          <w:rFonts w:hint="eastAsia" w:ascii="仿宋_GB2312" w:hAnsi="仿宋_GB2312" w:eastAsia="仿宋_GB2312" w:cs="仿宋_GB2312"/>
          <w:color w:val="000000" w:themeColor="text1"/>
          <w:spacing w:val="-17"/>
          <w:w w:val="99"/>
          <w:sz w:val="32"/>
          <w14:textFill>
            <w14:solidFill>
              <w14:schemeClr w14:val="tx1"/>
            </w14:solidFill>
          </w14:textFill>
        </w:rPr>
        <w:t>小程序自带原文诵读：点击“</w:t>
      </w:r>
      <w:r>
        <w:rPr>
          <w:rFonts w:hint="eastAsia" w:ascii="仿宋_GB2312" w:hAnsi="仿宋_GB2312" w:eastAsia="仿宋_GB2312" w:cs="仿宋_GB2312"/>
          <w:color w:val="000000" w:themeColor="text1"/>
          <w:spacing w:val="-15"/>
          <w:w w:val="99"/>
          <w:sz w:val="32"/>
          <w14:textFill>
            <w14:solidFill>
              <w14:schemeClr w14:val="tx1"/>
            </w14:solidFill>
          </w14:textFill>
        </w:rPr>
        <w:t>㊉</w:t>
      </w:r>
      <w:r>
        <w:rPr>
          <w:rFonts w:hint="eastAsia" w:ascii="仿宋_GB2312" w:hAnsi="仿宋_GB2312" w:eastAsia="仿宋_GB2312" w:cs="仿宋_GB2312"/>
          <w:color w:val="000000" w:themeColor="text1"/>
          <w:spacing w:val="-34"/>
          <w:w w:val="99"/>
          <w:sz w:val="32"/>
          <w14:textFill>
            <w14:solidFill>
              <w14:schemeClr w14:val="tx1"/>
            </w14:solidFill>
          </w14:textFill>
        </w:rPr>
        <w:t>”，选择“文库读本</w:t>
      </w:r>
      <w:r>
        <w:rPr>
          <w:rFonts w:hint="eastAsia" w:ascii="仿宋_GB2312" w:hAnsi="仿宋_GB2312" w:eastAsia="仿宋_GB2312" w:cs="仿宋_GB2312"/>
          <w:color w:val="000000" w:themeColor="text1"/>
          <w:spacing w:val="-33"/>
          <w:w w:val="99"/>
          <w:sz w:val="32"/>
          <w14:textFill>
            <w14:solidFill>
              <w14:schemeClr w14:val="tx1"/>
            </w14:solidFill>
          </w14:textFill>
        </w:rPr>
        <w:t>”，从素材库选择素材，选择系统背景音乐后“开始录制”。</w:t>
      </w:r>
    </w:p>
    <w:p>
      <w:pPr>
        <w:spacing w:after="0" w:line="340" w:lineRule="auto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sectPr>
          <w:pgSz w:w="11911" w:h="16838"/>
          <w:pgMar w:top="1701" w:right="1474" w:bottom="1701" w:left="1587" w:header="0" w:footer="1536" w:gutter="0"/>
          <w:cols w:equalWidth="0" w:num="1">
            <w:col w:w="8890"/>
          </w:cols>
          <w:rtlGutter w:val="0"/>
          <w:docGrid w:linePitch="0" w:charSpace="0"/>
        </w:sectPr>
      </w:pPr>
    </w:p>
    <w:p>
      <w:pPr>
        <w:pStyle w:val="3"/>
        <w:rPr>
          <w:rFonts w:hint="eastAsia" w:ascii="仿宋_GB2312" w:hAnsi="仿宋_GB2312" w:eastAsia="仿宋_GB2312" w:cs="仿宋_GB2312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1"/>
        <w:rPr>
          <w:rFonts w:hint="eastAsia" w:ascii="仿宋_GB2312" w:hAnsi="仿宋_GB2312" w:eastAsia="仿宋_GB2312" w:cs="仿宋_GB2312"/>
          <w:color w:val="000000" w:themeColor="text1"/>
          <w:sz w:val="17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0"/>
        </w:numPr>
        <w:tabs>
          <w:tab w:val="left" w:pos="1024"/>
        </w:tabs>
        <w:spacing w:before="55" w:after="0" w:line="338" w:lineRule="auto"/>
        <w:ind w:right="260" w:rightChars="0" w:firstLine="5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7"/>
          <w:w w:val="95"/>
          <w:sz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spacing w:val="-17"/>
          <w:w w:val="95"/>
          <w:sz w:val="32"/>
          <w14:textFill>
            <w14:solidFill>
              <w14:schemeClr w14:val="tx1"/>
            </w14:solidFill>
          </w14:textFill>
        </w:rPr>
        <w:t>录制完成后，勾选报名作品，填写个人报名信息</w:t>
      </w:r>
      <w:r>
        <w:rPr>
          <w:rFonts w:hint="eastAsia" w:ascii="仿宋_GB2312" w:hAnsi="仿宋_GB2312" w:eastAsia="仿宋_GB2312" w:cs="仿宋_GB2312"/>
          <w:color w:val="000000" w:themeColor="text1"/>
          <w:spacing w:val="-15"/>
          <w:w w:val="95"/>
          <w:sz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pacing w:val="-12"/>
          <w:w w:val="95"/>
          <w:sz w:val="32"/>
          <w14:textFill>
            <w14:solidFill>
              <w14:schemeClr w14:val="tx1"/>
            </w14:solidFill>
          </w14:textFill>
        </w:rPr>
        <w:t>姓名、</w:t>
      </w:r>
      <w:r>
        <w:rPr>
          <w:rFonts w:hint="eastAsia" w:ascii="仿宋_GB2312" w:hAnsi="仿宋_GB2312" w:eastAsia="仿宋_GB2312" w:cs="仿宋_GB2312"/>
          <w:color w:val="000000" w:themeColor="text1"/>
          <w:spacing w:val="-15"/>
          <w:w w:val="99"/>
          <w:sz w:val="32"/>
          <w14:textFill>
            <w14:solidFill>
              <w14:schemeClr w14:val="tx1"/>
            </w14:solidFill>
          </w14:textFill>
        </w:rPr>
        <w:t>电</w:t>
      </w:r>
      <w:r>
        <w:rPr>
          <w:rFonts w:hint="eastAsia" w:ascii="仿宋_GB2312" w:hAnsi="仿宋_GB2312" w:eastAsia="仿宋_GB2312" w:cs="仿宋_GB2312"/>
          <w:color w:val="000000" w:themeColor="text1"/>
          <w:spacing w:val="-34"/>
          <w:w w:val="99"/>
          <w:sz w:val="32"/>
          <w14:textFill>
            <w14:solidFill>
              <w14:schemeClr w14:val="tx1"/>
            </w14:solidFill>
          </w14:textFill>
        </w:rPr>
        <w:t>话、所属工会</w:t>
      </w:r>
      <w:r>
        <w:rPr>
          <w:rFonts w:hint="eastAsia" w:ascii="仿宋_GB2312" w:hAnsi="仿宋_GB2312" w:eastAsia="仿宋_GB2312" w:cs="仿宋_GB2312"/>
          <w:color w:val="000000" w:themeColor="text1"/>
          <w:spacing w:val="-168"/>
          <w:w w:val="99"/>
          <w:sz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pacing w:val="-38"/>
          <w:w w:val="99"/>
          <w:sz w:val="32"/>
          <w14:textFill>
            <w14:solidFill>
              <w14:schemeClr w14:val="tx1"/>
            </w14:solidFill>
          </w14:textFill>
        </w:rPr>
        <w:t>，若工会列表中找不到对应工会可以选“</w:t>
      </w:r>
      <w:r>
        <w:rPr>
          <w:rFonts w:hint="eastAsia" w:ascii="仿宋_GB2312" w:hAnsi="仿宋_GB2312" w:eastAsia="仿宋_GB2312" w:cs="仿宋_GB2312"/>
          <w:color w:val="000000" w:themeColor="text1"/>
          <w:spacing w:val="-38"/>
          <w:w w:val="99"/>
          <w:sz w:val="32"/>
          <w:lang w:eastAsia="zh-CN"/>
          <w14:textFill>
            <w14:solidFill>
              <w14:schemeClr w14:val="tx1"/>
            </w14:solidFill>
          </w14:textFill>
        </w:rPr>
        <w:t>省教科文卫工会</w:t>
      </w:r>
      <w:r>
        <w:rPr>
          <w:rFonts w:hint="eastAsia" w:ascii="仿宋_GB2312" w:hAnsi="仿宋_GB2312" w:eastAsia="仿宋_GB2312" w:cs="仿宋_GB2312"/>
          <w:color w:val="000000" w:themeColor="text1"/>
          <w:spacing w:val="-38"/>
          <w:w w:val="99"/>
          <w:sz w:val="32"/>
          <w14:textFill>
            <w14:solidFill>
              <w14:schemeClr w14:val="tx1"/>
            </w14:solidFill>
          </w14:textFill>
        </w:rPr>
        <w:t>”，</w:t>
      </w:r>
      <w:r>
        <w:rPr>
          <w:rFonts w:hint="eastAsia" w:ascii="仿宋_GB2312" w:hAnsi="仿宋_GB2312" w:eastAsia="仿宋_GB2312" w:cs="仿宋_GB2312"/>
          <w:color w:val="000000" w:themeColor="text1"/>
          <w:spacing w:val="-15"/>
          <w:sz w:val="32"/>
          <w14:textFill>
            <w14:solidFill>
              <w14:schemeClr w14:val="tx1"/>
            </w14:solidFill>
          </w14:textFill>
        </w:rPr>
        <w:t>完成作品提交。</w:t>
      </w:r>
      <w:bookmarkStart w:id="0" w:name="_GoBack"/>
      <w:bookmarkEnd w:id="0"/>
    </w:p>
    <w:p>
      <w:pPr>
        <w:pStyle w:val="6"/>
        <w:numPr>
          <w:ilvl w:val="0"/>
          <w:numId w:val="0"/>
        </w:numPr>
        <w:tabs>
          <w:tab w:val="left" w:pos="1024"/>
        </w:tabs>
        <w:spacing w:before="5" w:after="0" w:line="340" w:lineRule="auto"/>
        <w:ind w:right="260" w:rightChars="0" w:firstLine="5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7"/>
          <w:w w:val="95"/>
          <w:sz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color w:val="000000" w:themeColor="text1"/>
          <w:spacing w:val="-17"/>
          <w:w w:val="95"/>
          <w:sz w:val="32"/>
          <w14:textFill>
            <w14:solidFill>
              <w14:schemeClr w14:val="tx1"/>
            </w14:solidFill>
          </w14:textFill>
        </w:rPr>
        <w:t>如对已提交的作品不满意，可在“我的作品”中找到显示 “参与活动中”的作品，进入详情页后点选“取消参与”即可。 如</w:t>
      </w:r>
      <w:r>
        <w:rPr>
          <w:rFonts w:hint="eastAsia" w:ascii="仿宋_GB2312" w:hAnsi="仿宋_GB2312" w:eastAsia="仿宋_GB2312" w:cs="仿宋_GB2312"/>
          <w:color w:val="000000" w:themeColor="text1"/>
          <w:spacing w:val="-34"/>
          <w:w w:val="95"/>
          <w:sz w:val="32"/>
          <w14:textFill>
            <w14:solidFill>
              <w14:schemeClr w14:val="tx1"/>
            </w14:solidFill>
          </w14:textFill>
        </w:rPr>
        <w:t>再次提交该作品，之前获得的收听数、点赞数、评论将被清空。</w:t>
      </w:r>
    </w:p>
    <w:p>
      <w:pPr>
        <w:pStyle w:val="6"/>
        <w:numPr>
          <w:ilvl w:val="0"/>
          <w:numId w:val="0"/>
        </w:numPr>
        <w:tabs>
          <w:tab w:val="left" w:pos="1024"/>
        </w:tabs>
        <w:spacing w:before="5" w:after="0" w:line="340" w:lineRule="auto"/>
        <w:ind w:right="260" w:rightChars="0" w:firstLine="564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9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hAnsi="仿宋_GB2312" w:eastAsia="仿宋_GB2312" w:cs="仿宋_GB2312"/>
          <w:color w:val="000000" w:themeColor="text1"/>
          <w:spacing w:val="-19"/>
          <w:sz w:val="32"/>
          <w:szCs w:val="32"/>
          <w14:textFill>
            <w14:solidFill>
              <w14:schemeClr w14:val="tx1"/>
            </w14:solidFill>
          </w14:textFill>
        </w:rPr>
        <w:t xml:space="preserve">每个手机号每天对同一作品只能点赞一次，每天可点赞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6个作品。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500AC"/>
    <w:rsid w:val="089611CE"/>
    <w:rsid w:val="44C5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1"/>
    <w:pPr>
      <w:widowControl w:val="0"/>
      <w:spacing w:before="9"/>
      <w:ind w:left="114" w:right="276"/>
      <w:jc w:val="center"/>
      <w:outlineLvl w:val="1"/>
    </w:pPr>
    <w:rPr>
      <w:rFonts w:ascii="PMingLiU" w:hAnsi="PMingLiU" w:eastAsia="PMingLiU" w:cs="PMingLiU"/>
      <w:kern w:val="2"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qFormat/>
    <w:uiPriority w:val="1"/>
    <w:pPr>
      <w:widowControl w:val="0"/>
      <w:jc w:val="both"/>
    </w:pPr>
    <w:rPr>
      <w:rFonts w:ascii="宋体" w:hAnsi="宋体" w:eastAsia="宋体" w:cs="宋体"/>
      <w:kern w:val="2"/>
      <w:sz w:val="32"/>
      <w:szCs w:val="32"/>
      <w:lang w:val="zh-CN" w:eastAsia="zh-CN" w:bidi="zh-CN"/>
    </w:rPr>
  </w:style>
  <w:style w:type="paragraph" w:styleId="6">
    <w:name w:val="List Paragraph"/>
    <w:qFormat/>
    <w:uiPriority w:val="1"/>
    <w:pPr>
      <w:widowControl w:val="0"/>
      <w:ind w:left="102" w:right="260" w:firstLine="607"/>
      <w:jc w:val="both"/>
    </w:pPr>
    <w:rPr>
      <w:rFonts w:ascii="宋体" w:hAnsi="宋体" w:eastAsia="宋体" w:cs="宋体"/>
      <w:kern w:val="2"/>
      <w:sz w:val="21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2021-03-16T02:42:00Z</dcterms:created>
  <dc:creator>xrzhsh</dc:creator>
  <cp:lastModifiedBy>党宏倩</cp:lastModifiedBy>
  <dcterms:modified xsi:type="dcterms:W3CDTF">2021-03-17T03:05:25Z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