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7F" w:rsidRDefault="00C04D7F" w:rsidP="00C04D7F">
      <w:pPr>
        <w:pStyle w:val="1"/>
        <w:spacing w:before="0" w:after="0" w:line="600" w:lineRule="exact"/>
        <w:jc w:val="center"/>
        <w:rPr>
          <w:rFonts w:eastAsia="华文中宋"/>
          <w:sz w:val="36"/>
          <w:szCs w:val="36"/>
        </w:rPr>
      </w:pPr>
      <w:bookmarkStart w:id="0" w:name="_Toc477286149"/>
      <w:r>
        <w:rPr>
          <w:rFonts w:eastAsia="华文中宋" w:hint="eastAsia"/>
          <w:sz w:val="36"/>
          <w:szCs w:val="36"/>
        </w:rPr>
        <w:t>石家庄铁路职业技术学院</w:t>
      </w:r>
      <w:bookmarkEnd w:id="0"/>
    </w:p>
    <w:p w:rsidR="00C04D7F" w:rsidRDefault="00C04D7F" w:rsidP="00C04D7F">
      <w:pPr>
        <w:pStyle w:val="1"/>
        <w:spacing w:before="0" w:after="0" w:line="600" w:lineRule="exact"/>
        <w:jc w:val="center"/>
        <w:rPr>
          <w:rFonts w:eastAsia="华文中宋"/>
          <w:sz w:val="36"/>
          <w:szCs w:val="36"/>
        </w:rPr>
      </w:pPr>
      <w:bookmarkStart w:id="1" w:name="_Toc477286150"/>
      <w:r>
        <w:rPr>
          <w:rFonts w:eastAsia="华文中宋" w:hint="eastAsia"/>
          <w:sz w:val="36"/>
          <w:szCs w:val="36"/>
        </w:rPr>
        <w:t>财务工作报告</w:t>
      </w:r>
      <w:bookmarkEnd w:id="1"/>
    </w:p>
    <w:p w:rsidR="00C04D7F" w:rsidRDefault="00C04D7F" w:rsidP="00C04D7F"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副院长  张运凯</w:t>
      </w:r>
    </w:p>
    <w:p w:rsidR="00C04D7F" w:rsidRDefault="00C04D7F" w:rsidP="00C04D7F">
      <w:pPr>
        <w:spacing w:line="500" w:lineRule="exact"/>
        <w:jc w:val="center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（2017年3月17日）</w:t>
      </w:r>
    </w:p>
    <w:p w:rsidR="00C04D7F" w:rsidRDefault="00C04D7F" w:rsidP="00C04D7F">
      <w:pPr>
        <w:spacing w:line="500" w:lineRule="exact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各位代表：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我受学院委托，向大会报告学院2016年财务收支情况和2017年财务预算批复情况，请代表们审议。</w:t>
      </w:r>
    </w:p>
    <w:p w:rsidR="00C04D7F" w:rsidRDefault="00C04D7F" w:rsidP="00C04D7F">
      <w:pPr>
        <w:spacing w:line="500" w:lineRule="exact"/>
        <w:ind w:firstLineChars="200" w:firstLine="560"/>
        <w:rPr>
          <w:rFonts w:ascii="黑体" w:eastAsia="黑体" w:hAnsi="黑体" w:cs="Arial" w:hint="eastAsia"/>
          <w:sz w:val="28"/>
          <w:szCs w:val="28"/>
        </w:rPr>
      </w:pPr>
      <w:r>
        <w:rPr>
          <w:rFonts w:ascii="黑体" w:eastAsia="黑体" w:hAnsi="黑体" w:cs="Arial" w:hint="eastAsia"/>
          <w:sz w:val="28"/>
          <w:szCs w:val="28"/>
        </w:rPr>
        <w:t>一、2016年学院财务收支情况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2016年学院财务工作在学院党委、行政的正确领导下，依靠广大教职工的共同努力，紧紧围绕学院中心工作，充分发挥财务支撑保障作用，积极筹措资金，优化资源配置，关注师生利益，确保了学院各项事业平稳健康发展，较好地完成了预期财务工作目标。</w:t>
      </w:r>
    </w:p>
    <w:p w:rsidR="00C04D7F" w:rsidRDefault="00C04D7F" w:rsidP="00C04D7F">
      <w:pPr>
        <w:spacing w:line="500" w:lineRule="exact"/>
        <w:ind w:firstLineChars="200" w:firstLine="562"/>
        <w:rPr>
          <w:rFonts w:ascii="仿宋_GB2312" w:eastAsia="仿宋_GB2312" w:hAnsi="Arial" w:cs="Arial" w:hint="eastAsia"/>
          <w:b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b/>
          <w:color w:val="2C2C2C"/>
          <w:sz w:val="28"/>
          <w:szCs w:val="28"/>
        </w:rPr>
        <w:t>（一）收入情况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学院收入包括财政补助收入、事业收入和其他收入三部分。2016年学院收入总额为14173.83万元，比上年增长2091.66万元，增幅达17.31%。具体情况如下：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1.财政补助收入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2016年财政补助收入为7843.37万元，占总收入的55.34%。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预算完成率为91.9%，未完成主要原因是因资金拨付时间、石家庄防霾“利剑斩污”行动、购买服务项目履约合同期、设备购置等支出周期漫长等未实现政府采购最后支付。该部分工作已经上级批准转至2017年完成。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2.事业收入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lastRenderedPageBreak/>
        <w:t>2016年事业收入为6307.20万元，占总收入的44.5%。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预算完成率为79.52%，未完成主要原因一是短期培训未实现预算，二是新校区建设资金转至2017年。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3.其他收入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2016年其他收入23.26万元，占总收入的0.16%，基本完成预算。</w:t>
      </w:r>
    </w:p>
    <w:p w:rsidR="00C04D7F" w:rsidRDefault="00C04D7F" w:rsidP="00C04D7F">
      <w:pPr>
        <w:spacing w:line="500" w:lineRule="exact"/>
        <w:ind w:firstLineChars="200" w:firstLine="562"/>
        <w:rPr>
          <w:rFonts w:ascii="仿宋_GB2312" w:eastAsia="仿宋_GB2312" w:hAnsi="Arial" w:cs="Arial" w:hint="eastAsia"/>
          <w:b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b/>
          <w:color w:val="2C2C2C"/>
          <w:sz w:val="28"/>
          <w:szCs w:val="28"/>
        </w:rPr>
        <w:t>（二）支出情况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学院支出包括人员支出、日常公用支出和项目支出三部分。2016年学院支出总额为13474.73万元，比2015年增加2281.49万元，增幅达20.38%。具体情况如下：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1.人员支出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2016年人员支出6333.95万元，占总支出47.01%。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预算完成率115.37%，超预算支付主要原因是按政策调资所需资金超过预算所致。超支部分使用历年结余补足。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2.日常公用支出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2016年日常公用支出2732.40万元，占总支出20.28%。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预算完成率64.14%，未完成主要原因一是为学院后续事业发展而适当压缩日常经费，二是预算执行情况不乐观。未完成预算部分转为学院结余。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3.项目支出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2016年项目支出4408.38万元，占总支出32.72%，基本完成预算。</w:t>
      </w:r>
    </w:p>
    <w:p w:rsidR="00C04D7F" w:rsidRDefault="00C04D7F" w:rsidP="00C04D7F">
      <w:pPr>
        <w:spacing w:line="500" w:lineRule="exact"/>
        <w:ind w:firstLineChars="200" w:firstLine="562"/>
        <w:rPr>
          <w:rFonts w:ascii="仿宋_GB2312" w:eastAsia="仿宋_GB2312" w:hAnsi="Arial" w:cs="Arial" w:hint="eastAsia"/>
          <w:b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b/>
          <w:color w:val="2C2C2C"/>
          <w:sz w:val="28"/>
          <w:szCs w:val="28"/>
        </w:rPr>
        <w:lastRenderedPageBreak/>
        <w:t>（三）经费结余情况</w:t>
      </w:r>
    </w:p>
    <w:p w:rsidR="00C04D7F" w:rsidRP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sz w:val="28"/>
          <w:szCs w:val="28"/>
        </w:rPr>
      </w:pPr>
      <w:r w:rsidRPr="00C04D7F">
        <w:rPr>
          <w:rFonts w:ascii="仿宋_GB2312" w:eastAsia="仿宋_GB2312" w:hAnsi="Arial" w:cs="Arial" w:hint="eastAsia"/>
          <w:sz w:val="28"/>
          <w:szCs w:val="28"/>
        </w:rPr>
        <w:t>2015年财政补助结转32.58万元，2016年学院结转结余731.68万元(2015年财政补助结转+2016年收入-2016年支出)，截止2016年底，学院经费总结余结转2240.7万元。</w:t>
      </w:r>
    </w:p>
    <w:p w:rsidR="00C04D7F" w:rsidRDefault="00C04D7F" w:rsidP="00C04D7F">
      <w:pPr>
        <w:spacing w:line="500" w:lineRule="exact"/>
        <w:ind w:firstLineChars="200" w:firstLine="562"/>
        <w:rPr>
          <w:rFonts w:ascii="仿宋_GB2312" w:eastAsia="仿宋_GB2312" w:hAnsi="Arial" w:cs="Arial" w:hint="eastAsia"/>
          <w:b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b/>
          <w:color w:val="2C2C2C"/>
          <w:sz w:val="28"/>
          <w:szCs w:val="28"/>
        </w:rPr>
        <w:t>（四）财务运行情况</w:t>
      </w:r>
    </w:p>
    <w:p w:rsidR="00C04D7F" w:rsidRDefault="00C04D7F" w:rsidP="00C04D7F">
      <w:pPr>
        <w:spacing w:line="500" w:lineRule="exact"/>
        <w:ind w:firstLineChars="200" w:firstLine="560"/>
        <w:rPr>
          <w:rFonts w:ascii="Arial" w:eastAsia="仿宋_GB2312" w:hAnsi="Arial" w:cs="Arial" w:hint="eastAsia"/>
          <w:color w:val="170301"/>
          <w:sz w:val="32"/>
          <w:szCs w:val="32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2016年学院财务运行整体良好。一是学院全年经费收入继续保持增长势头，财政补助收入、事业收入仍是学院收入的主要来源。二是学院财务坚持“量入为出，收支平衡；统筹兼顾，确保重点”的预算原则，通过积极争取财政支持，调整支出结构，统筹安排各项经费，保证了对教学、科研、学科、人才引进与设备购置等重点建设项目经费的投入，确保财务收支平衡。三是以提升实验实训条件为重点，落实三年行动计划。全年实验实训设备（含专业教学软件）投入超2600万元，学院实验实训条件大幅提升。四是预算编制和财务管理水平进一步加强。随着国库集中支付的不断深入，财政对学院资金的监管力度不断加大，自2016年起我院财务核算全面实现分部门、分项目管理，预算编制和执行精细化程度大幅提高。五是学院快速发展与财力有限的矛盾依旧突出。一方面，经费支出增长较快，无论是人员经费支出，还是日常公用经费支出都具有一定的刚性，难以压缩；另一方面，收入增加渠道不多，学生学费收入趋于稳定，不利于后期可持续性发展。六是经费使用效率有待进一步提高，部分项目经费缺少绩效评价。一方面学院资金十分紧张，另一方面资金使用效率不高，部分仪器设备利用效率不高，个别甚至闲置不用，在一定程度上还存在资金浪费现象。</w:t>
      </w:r>
    </w:p>
    <w:p w:rsidR="00C04D7F" w:rsidRDefault="00C04D7F" w:rsidP="00C04D7F">
      <w:pPr>
        <w:spacing w:line="500" w:lineRule="exact"/>
        <w:ind w:firstLineChars="200" w:firstLine="560"/>
        <w:rPr>
          <w:rFonts w:ascii="黑体" w:eastAsia="黑体" w:hAnsi="黑体" w:cs="Arial"/>
          <w:sz w:val="28"/>
          <w:szCs w:val="28"/>
        </w:rPr>
      </w:pPr>
      <w:r>
        <w:rPr>
          <w:rFonts w:ascii="黑体" w:eastAsia="黑体" w:hAnsi="黑体" w:cs="Arial" w:hint="eastAsia"/>
          <w:sz w:val="28"/>
          <w:szCs w:val="28"/>
        </w:rPr>
        <w:t>二、2017年学院财务预算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lastRenderedPageBreak/>
        <w:t>根据《河北省财政厅关于批复省教育厅2017年部门预算的通知》（冀财预复[2017]43号），现将我院2017年预算情况报告如下：</w:t>
      </w:r>
    </w:p>
    <w:p w:rsidR="00C04D7F" w:rsidRDefault="00C04D7F" w:rsidP="00C04D7F">
      <w:pPr>
        <w:spacing w:line="500" w:lineRule="exact"/>
        <w:ind w:firstLineChars="200" w:firstLine="562"/>
        <w:rPr>
          <w:rFonts w:ascii="仿宋_GB2312" w:eastAsia="仿宋_GB2312" w:hAnsi="Arial" w:cs="Arial" w:hint="eastAsia"/>
          <w:b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b/>
          <w:color w:val="2C2C2C"/>
          <w:sz w:val="28"/>
          <w:szCs w:val="28"/>
        </w:rPr>
        <w:t>（一）编制原则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2017年财务预算编制遵循“量入为出，收支平衡，统筹兼顾，保证重点，积极稳妥，勤俭节约”的原则，做到“人员经费足额安排，重点经费优先保障，一般经费从严控制”，加强监督管理，努力提高财务管理水平，为学院各项事业发展做好经费保障工作。</w:t>
      </w:r>
    </w:p>
    <w:p w:rsidR="00C04D7F" w:rsidRDefault="00C04D7F" w:rsidP="00C04D7F">
      <w:pPr>
        <w:spacing w:line="500" w:lineRule="exact"/>
        <w:ind w:firstLineChars="200" w:firstLine="562"/>
        <w:rPr>
          <w:rFonts w:ascii="仿宋_GB2312" w:eastAsia="仿宋_GB2312" w:hAnsi="Arial" w:cs="Arial" w:hint="eastAsia"/>
          <w:b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b/>
          <w:color w:val="2C2C2C"/>
          <w:sz w:val="28"/>
          <w:szCs w:val="28"/>
        </w:rPr>
        <w:t>（二）收入预算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2017年学院收入年初预算安排14200.3万元，其中：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1.财政补助收入7788.71万元，占总收入54.85%；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2.事业收入6406.59万元，占总收入45.11%；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3.其他收入5万元，占总收入0.04%。</w:t>
      </w:r>
    </w:p>
    <w:p w:rsidR="00C04D7F" w:rsidRDefault="00C04D7F" w:rsidP="00C04D7F">
      <w:pPr>
        <w:spacing w:line="500" w:lineRule="exact"/>
        <w:ind w:firstLineChars="200" w:firstLine="562"/>
        <w:rPr>
          <w:rFonts w:ascii="仿宋_GB2312" w:eastAsia="仿宋_GB2312" w:hAnsi="Arial" w:cs="Arial" w:hint="eastAsia"/>
          <w:b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b/>
          <w:color w:val="2C2C2C"/>
          <w:sz w:val="28"/>
          <w:szCs w:val="28"/>
        </w:rPr>
        <w:t>（三）支出预算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2017年学院支出年初预算安排14200.30万元，其中：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1.人员经费6742.40万元，占总支出47.48%；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 xml:space="preserve">2.日常公用经费2797.98万元，占总支出20.27%； 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3.项目经费4659.92万元，占总支出32.82%。</w:t>
      </w:r>
    </w:p>
    <w:p w:rsidR="00C04D7F" w:rsidRDefault="00C04D7F" w:rsidP="00C04D7F">
      <w:pPr>
        <w:spacing w:line="500" w:lineRule="exact"/>
        <w:ind w:firstLineChars="200" w:firstLine="560"/>
        <w:rPr>
          <w:rFonts w:ascii="黑体" w:eastAsia="黑体" w:hAnsi="黑体" w:cs="Arial" w:hint="eastAsia"/>
          <w:sz w:val="28"/>
          <w:szCs w:val="28"/>
        </w:rPr>
      </w:pPr>
      <w:r>
        <w:rPr>
          <w:rFonts w:ascii="黑体" w:eastAsia="黑体" w:hAnsi="黑体" w:cs="Arial" w:hint="eastAsia"/>
          <w:sz w:val="28"/>
          <w:szCs w:val="28"/>
        </w:rPr>
        <w:t xml:space="preserve">三、做好2017年学院财务工作的建议 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2017年是党的十九大召开之年，是学院落实“十三五”规划的关键之年，是深入实施“三年行动计划”的攻坚之年，是建设“有特色、国际化、创新型”优质高等职业院校的起步之年。学院财务管理工作也将面临新的挑战。人员经费刚性增长，校区改造任务繁</w:t>
      </w:r>
      <w:r>
        <w:rPr>
          <w:rFonts w:ascii="仿宋_GB2312" w:eastAsia="仿宋_GB2312" w:hAnsi="Arial" w:cs="Arial" w:hint="eastAsia"/>
          <w:color w:val="2C2C2C"/>
          <w:sz w:val="28"/>
          <w:szCs w:val="28"/>
        </w:rPr>
        <w:lastRenderedPageBreak/>
        <w:t>重，资金需求持续上升，财务收支矛盾十分突出。根据目前财务运行中存在的问题和困难，对做好2017年学院财务工作提出如下建议：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1.统一思想认识，强化理财责任，理解和支持适度从紧的预算政策；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2.充分调动各系部处室积极性，挖掘筹资潜力，增加学院资金总量，确保学院发展资金需求；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3.加强财务政策规范宣传及业务培训，严格执行预算，提高资金管理水平；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4.注重事前、事中、事后全过程绩效评价，加强财务监督；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 xml:space="preserve">5.增强节约意识，节支增效，积极创建节约型校园。 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各位代表，2017年学院的财务工作任务十分艰巨。我们坚信，在学院党委和行政领导下，经过全院教职工的共同努力，今年学院的各项财务工作任务一定能够顺利完成。</w:t>
      </w:r>
    </w:p>
    <w:p w:rsidR="00C04D7F" w:rsidRDefault="00C04D7F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谢谢大家！</w:t>
      </w:r>
    </w:p>
    <w:p w:rsidR="00054BD1" w:rsidRDefault="00054BD1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</w:p>
    <w:p w:rsidR="00054BD1" w:rsidRDefault="00054BD1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</w:p>
    <w:p w:rsidR="00054BD1" w:rsidRDefault="00054BD1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</w:p>
    <w:p w:rsidR="00054BD1" w:rsidRDefault="00054BD1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 xml:space="preserve">（此稿为根据代表团审议讨论提出的修改意见整理。） </w:t>
      </w:r>
    </w:p>
    <w:p w:rsidR="00054BD1" w:rsidRDefault="00054BD1" w:rsidP="00C04D7F">
      <w:pPr>
        <w:spacing w:line="500" w:lineRule="exact"/>
        <w:ind w:firstLineChars="200" w:firstLine="56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 xml:space="preserve">                                   院工会</w:t>
      </w:r>
    </w:p>
    <w:p w:rsidR="00054BD1" w:rsidRDefault="00054BD1" w:rsidP="00054BD1">
      <w:pPr>
        <w:spacing w:line="500" w:lineRule="exact"/>
        <w:ind w:firstLineChars="1750" w:firstLine="4900"/>
        <w:rPr>
          <w:rFonts w:ascii="仿宋_GB2312" w:eastAsia="仿宋_GB2312" w:hAnsi="Arial" w:cs="Arial" w:hint="eastAsia"/>
          <w:color w:val="2C2C2C"/>
          <w:sz w:val="28"/>
          <w:szCs w:val="28"/>
        </w:rPr>
      </w:pPr>
      <w:r>
        <w:rPr>
          <w:rFonts w:ascii="仿宋_GB2312" w:eastAsia="仿宋_GB2312" w:hAnsi="Arial" w:cs="Arial" w:hint="eastAsia"/>
          <w:color w:val="2C2C2C"/>
          <w:sz w:val="28"/>
          <w:szCs w:val="28"/>
        </w:rPr>
        <w:t>2017年3月28日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54BD1"/>
    <w:rsid w:val="00323B43"/>
    <w:rsid w:val="003D37D8"/>
    <w:rsid w:val="00426133"/>
    <w:rsid w:val="004358AB"/>
    <w:rsid w:val="008B7726"/>
    <w:rsid w:val="00A57E42"/>
    <w:rsid w:val="00C04D7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C04D7F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04D7F"/>
    <w:rPr>
      <w:rFonts w:ascii="Times New Roman" w:eastAsia="宋体" w:hAnsi="Times New Roman" w:cs="Times New Roman"/>
      <w:b/>
      <w:bCs/>
      <w:kern w:val="44"/>
      <w:sz w:val="44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</cp:revision>
  <dcterms:created xsi:type="dcterms:W3CDTF">2008-09-11T17:20:00Z</dcterms:created>
  <dcterms:modified xsi:type="dcterms:W3CDTF">2017-03-28T06:21:00Z</dcterms:modified>
</cp:coreProperties>
</file>